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CFD9" w14:textId="77777777" w:rsidR="00332CD6" w:rsidRDefault="000C4B44" w:rsidP="00E10F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ПОДТВЕРЖДЕНИЕ ПОДАЧИ ЗАЯВКИ</w:t>
      </w:r>
    </w:p>
    <w:p w14:paraId="0EB6AD79" w14:textId="77777777" w:rsidR="00332CD6" w:rsidRDefault="000C4B44" w:rsidP="00E10FE4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________________________________________________ (далее </w:t>
      </w:r>
      <w:r>
        <w:rPr>
          <w:szCs w:val="28"/>
          <w:lang w:eastAsia="ru-RU" w:bidi="ru-RU"/>
        </w:rPr>
        <w:t>–</w:t>
      </w:r>
      <w:r>
        <w:rPr>
          <w:szCs w:val="28"/>
        </w:rPr>
        <w:t xml:space="preserve"> организация), </w:t>
      </w:r>
    </w:p>
    <w:p w14:paraId="1129B52E" w14:textId="77777777" w:rsidR="00332CD6" w:rsidRDefault="000C4B44" w:rsidP="00E10FE4">
      <w:pPr>
        <w:spacing w:line="276" w:lineRule="auto"/>
        <w:jc w:val="center"/>
        <w:rPr>
          <w:sz w:val="22"/>
        </w:rPr>
      </w:pPr>
      <w:r>
        <w:rPr>
          <w:sz w:val="22"/>
        </w:rPr>
        <w:t>(наименование социально ориентированной некоммерческой организации)</w:t>
      </w:r>
    </w:p>
    <w:p w14:paraId="08185E5C" w14:textId="77777777" w:rsidR="00332CD6" w:rsidRDefault="00332CD6" w:rsidP="00E10FE4">
      <w:pPr>
        <w:spacing w:line="276" w:lineRule="auto"/>
        <w:jc w:val="center"/>
        <w:rPr>
          <w:sz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2"/>
      </w:tblGrid>
      <w:tr w:rsidR="00332CD6" w14:paraId="01328898" w14:textId="77777777">
        <w:tc>
          <w:tcPr>
            <w:tcW w:w="5665" w:type="dxa"/>
          </w:tcPr>
          <w:p w14:paraId="29E8AF30" w14:textId="77777777" w:rsidR="00332CD6" w:rsidRDefault="000C4B44" w:rsidP="00E10FE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2"/>
              </w:rPr>
              <w:t>ОГРН:</w:t>
            </w:r>
            <w:r>
              <w:rPr>
                <w:szCs w:val="28"/>
              </w:rPr>
              <w:t xml:space="preserve"> _________________________</w:t>
            </w:r>
          </w:p>
          <w:p w14:paraId="5E958E04" w14:textId="77777777" w:rsidR="00332CD6" w:rsidRDefault="000C4B44" w:rsidP="00E10F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(основной государственный регистрационный номер)</w:t>
            </w:r>
          </w:p>
          <w:p w14:paraId="2A761788" w14:textId="77777777" w:rsidR="00332CD6" w:rsidRDefault="00332CD6" w:rsidP="00E10FE4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962" w:type="dxa"/>
          </w:tcPr>
          <w:p w14:paraId="0F717B59" w14:textId="77777777" w:rsidR="00332CD6" w:rsidRDefault="000C4B44" w:rsidP="00E10FE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2"/>
              </w:rPr>
              <w:t>ИНН:</w:t>
            </w:r>
            <w:r>
              <w:rPr>
                <w:szCs w:val="28"/>
              </w:rPr>
              <w:t xml:space="preserve"> ________________</w:t>
            </w:r>
          </w:p>
          <w:p w14:paraId="0F95CEFD" w14:textId="77777777" w:rsidR="00332CD6" w:rsidRDefault="000C4B44" w:rsidP="00E10FE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(идентификационный номер налогоплательщика)</w:t>
            </w:r>
          </w:p>
        </w:tc>
      </w:tr>
    </w:tbl>
    <w:p w14:paraId="0AAEEA0B" w14:textId="77777777" w:rsidR="00332CD6" w:rsidRDefault="00332CD6" w:rsidP="00E10FE4">
      <w:pPr>
        <w:spacing w:line="276" w:lineRule="auto"/>
        <w:jc w:val="center"/>
        <w:rPr>
          <w:sz w:val="22"/>
        </w:rPr>
      </w:pPr>
    </w:p>
    <w:p w14:paraId="73554BA9" w14:textId="77777777" w:rsidR="00332CD6" w:rsidRDefault="000C4B44" w:rsidP="00E10FE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 подачу заявки на участие в конкурсном отборе социально ориентированных некоммерческих организаций в Приморском крае в целях предоставления им субсидий из краевого бюджета на финансовое обеспечение затрат, связанных с реализацией общественно значимых программ (проектов)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14:paraId="2A44896B" w14:textId="77777777" w:rsidR="00332CD6" w:rsidRDefault="00332CD6" w:rsidP="00E10FE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32CD6" w14:paraId="0D8BDE97" w14:textId="77777777">
        <w:tc>
          <w:tcPr>
            <w:tcW w:w="4813" w:type="dxa"/>
          </w:tcPr>
          <w:p w14:paraId="2258A936" w14:textId="77777777" w:rsidR="00332CD6" w:rsidRDefault="000C4B44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(проекта)</w:t>
            </w:r>
          </w:p>
        </w:tc>
        <w:tc>
          <w:tcPr>
            <w:tcW w:w="4814" w:type="dxa"/>
          </w:tcPr>
          <w:p w14:paraId="3E604034" w14:textId="77777777" w:rsidR="00332CD6" w:rsidRDefault="00332CD6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CD6" w14:paraId="204A1AA1" w14:textId="77777777">
        <w:tc>
          <w:tcPr>
            <w:tcW w:w="4813" w:type="dxa"/>
          </w:tcPr>
          <w:p w14:paraId="49E6F636" w14:textId="77777777" w:rsidR="00332CD6" w:rsidRDefault="000C4B44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Приоритетное направление деятельности в рамках объявленного Конкурса, которому соответствует деятельность по программе (проекту)</w:t>
            </w:r>
          </w:p>
        </w:tc>
        <w:tc>
          <w:tcPr>
            <w:tcW w:w="4814" w:type="dxa"/>
          </w:tcPr>
          <w:p w14:paraId="3C8047AA" w14:textId="77777777" w:rsidR="00332CD6" w:rsidRDefault="00332CD6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CD6" w14:paraId="14D5C1D8" w14:textId="77777777">
        <w:tc>
          <w:tcPr>
            <w:tcW w:w="4813" w:type="dxa"/>
          </w:tcPr>
          <w:p w14:paraId="55EC4C1B" w14:textId="77777777" w:rsidR="00332CD6" w:rsidRDefault="000C4B44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расходов на реализацию программы (проекта) (рублей)</w:t>
            </w:r>
          </w:p>
        </w:tc>
        <w:tc>
          <w:tcPr>
            <w:tcW w:w="4814" w:type="dxa"/>
          </w:tcPr>
          <w:p w14:paraId="65309BCC" w14:textId="77777777" w:rsidR="00332CD6" w:rsidRDefault="00332CD6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CD6" w14:paraId="621D8D00" w14:textId="77777777">
        <w:tc>
          <w:tcPr>
            <w:tcW w:w="4813" w:type="dxa"/>
          </w:tcPr>
          <w:p w14:paraId="677A420D" w14:textId="77777777" w:rsidR="00332CD6" w:rsidRDefault="000C4B44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запрашиваемая на реализацию программы (проекта) (рублей)</w:t>
            </w:r>
          </w:p>
        </w:tc>
        <w:tc>
          <w:tcPr>
            <w:tcW w:w="4814" w:type="dxa"/>
          </w:tcPr>
          <w:p w14:paraId="5844CA9B" w14:textId="77777777" w:rsidR="00332CD6" w:rsidRDefault="00332CD6" w:rsidP="00E10FE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CD6" w14:paraId="656E875C" w14:textId="77777777">
        <w:trPr>
          <w:trHeight w:val="497"/>
        </w:trPr>
        <w:tc>
          <w:tcPr>
            <w:tcW w:w="9627" w:type="dxa"/>
            <w:gridSpan w:val="2"/>
          </w:tcPr>
          <w:p w14:paraId="22B71A09" w14:textId="77777777" w:rsidR="00332CD6" w:rsidRDefault="000C4B44" w:rsidP="00E10F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 (проекта)</w:t>
            </w:r>
          </w:p>
        </w:tc>
      </w:tr>
      <w:tr w:rsidR="00332CD6" w14:paraId="624BA543" w14:textId="77777777">
        <w:trPr>
          <w:trHeight w:val="370"/>
        </w:trPr>
        <w:tc>
          <w:tcPr>
            <w:tcW w:w="9627" w:type="dxa"/>
            <w:gridSpan w:val="2"/>
            <w:vMerge w:val="restart"/>
          </w:tcPr>
          <w:p w14:paraId="5C4BC82F" w14:textId="77777777" w:rsidR="00332CD6" w:rsidRDefault="00332CD6" w:rsidP="00E10F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0FF4A7" w14:textId="77777777" w:rsidR="00332CD6" w:rsidRDefault="00332CD6" w:rsidP="00E10FE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96110" w14:textId="76BF6AB0" w:rsidR="00332CD6" w:rsidRDefault="000C4B44" w:rsidP="00E10FE4">
      <w:pPr>
        <w:widowControl w:val="0"/>
        <w:spacing w:line="276" w:lineRule="auto"/>
        <w:ind w:right="-83" w:firstLine="720"/>
        <w:jc w:val="both"/>
        <w:rPr>
          <w:bCs/>
          <w:szCs w:val="28"/>
          <w:lang w:val="ru"/>
        </w:rPr>
      </w:pPr>
      <w:r>
        <w:rPr>
          <w:bCs/>
          <w:szCs w:val="28"/>
          <w:lang w:val="ru"/>
        </w:rPr>
        <w:t xml:space="preserve">От имени организации с указанными наименованием, основным государственным регистрационным номером и идентификационным номером налогоплательщика подписываю и подаю соответствующую заявку, подтверждаю корректность приведенной информации и даю согласие </w:t>
      </w:r>
      <w:r>
        <w:rPr>
          <w:bCs/>
          <w:szCs w:val="28"/>
          <w:lang w:val="ru"/>
        </w:rPr>
        <w:br/>
        <w:t>на размещение ее для всеобщего сведения на сайте https://</w:t>
      </w:r>
      <w:proofErr w:type="spellStart"/>
      <w:r>
        <w:rPr>
          <w:bCs/>
          <w:szCs w:val="28"/>
        </w:rPr>
        <w:t>грантгубернатора25.рф</w:t>
      </w:r>
      <w:proofErr w:type="spellEnd"/>
      <w:r>
        <w:rPr>
          <w:bCs/>
          <w:szCs w:val="28"/>
          <w:lang w:val="ru"/>
        </w:rPr>
        <w:t>, других сайтах в сети Интернет и в средствах массовой информации.</w:t>
      </w:r>
    </w:p>
    <w:p w14:paraId="147D9E13" w14:textId="77777777" w:rsidR="00332CD6" w:rsidRDefault="000C4B44" w:rsidP="00E10FE4">
      <w:pPr>
        <w:widowControl w:val="0"/>
        <w:spacing w:line="276" w:lineRule="auto"/>
        <w:ind w:right="-83" w:firstLine="720"/>
        <w:jc w:val="both"/>
        <w:rPr>
          <w:bCs/>
          <w:szCs w:val="28"/>
          <w:lang w:val="ru"/>
        </w:rPr>
      </w:pPr>
      <w:r>
        <w:rPr>
          <w:bCs/>
          <w:szCs w:val="28"/>
          <w:lang w:val="ru"/>
        </w:rPr>
        <w:t xml:space="preserve">Подписанием настоящего документа подтверждаю (даю заверение </w:t>
      </w:r>
      <w:r>
        <w:rPr>
          <w:bCs/>
          <w:szCs w:val="28"/>
          <w:lang w:val="ru"/>
        </w:rPr>
        <w:br/>
        <w:t>о следующих обстоятельствах):</w:t>
      </w:r>
    </w:p>
    <w:p w14:paraId="3225EABD" w14:textId="77777777" w:rsidR="00332CD6" w:rsidRDefault="000C4B44" w:rsidP="00E10FE4">
      <w:pPr>
        <w:widowControl w:val="0"/>
        <w:spacing w:after="57" w:line="276" w:lineRule="auto"/>
        <w:ind w:right="-83" w:firstLine="720"/>
        <w:jc w:val="both"/>
        <w:rPr>
          <w:spacing w:val="4"/>
          <w:szCs w:val="28"/>
        </w:rPr>
      </w:pPr>
      <w:r>
        <w:rPr>
          <w:szCs w:val="28"/>
        </w:rPr>
        <w:t xml:space="preserve">1. </w:t>
      </w:r>
      <w:r>
        <w:rPr>
          <w:spacing w:val="4"/>
          <w:szCs w:val="28"/>
        </w:rPr>
        <w:t xml:space="preserve">Организация создана в предусмотренных Федеральным законом </w:t>
      </w:r>
      <w:r>
        <w:rPr>
          <w:spacing w:val="4"/>
          <w:szCs w:val="28"/>
        </w:rPr>
        <w:br/>
        <w:t xml:space="preserve">от  12 января 1996 года № 7-ФЗ «О некоммерческих организациях» формах </w:t>
      </w:r>
      <w:r>
        <w:rPr>
          <w:spacing w:val="4"/>
          <w:szCs w:val="28"/>
        </w:rPr>
        <w:br/>
        <w:t xml:space="preserve">и осуществляет на территории Приморского края в соответствии со своим </w:t>
      </w:r>
      <w:bookmarkStart w:id="0" w:name="bookmark9"/>
      <w:r>
        <w:rPr>
          <w:szCs w:val="28"/>
          <w:lang w:eastAsia="ru-RU" w:bidi="ru-RU"/>
        </w:rPr>
        <w:t xml:space="preserve">уставом деятельность, направленную на решение социальных проблем и (или) </w:t>
      </w:r>
      <w:r>
        <w:rPr>
          <w:szCs w:val="28"/>
          <w:lang w:eastAsia="ru-RU" w:bidi="ru-RU"/>
        </w:rPr>
        <w:lastRenderedPageBreak/>
        <w:t>развитие гражданского общества, а также один или несколько видов деятельности, указанных в статье 31.1</w:t>
      </w:r>
      <w:bookmarkEnd w:id="0"/>
      <w:r>
        <w:rPr>
          <w:szCs w:val="28"/>
          <w:lang w:eastAsia="ru-RU" w:bidi="ru-RU"/>
        </w:rPr>
        <w:t xml:space="preserve"> Федерального закона от 12 января 1996 года </w:t>
      </w:r>
      <w:r>
        <w:rPr>
          <w:szCs w:val="28"/>
          <w:lang w:eastAsia="ru-RU" w:bidi="en-US"/>
        </w:rPr>
        <w:t>№</w:t>
      </w:r>
      <w:r>
        <w:rPr>
          <w:szCs w:val="28"/>
          <w:lang w:eastAsia="ru-RU" w:bidi="ru-RU"/>
        </w:rPr>
        <w:t xml:space="preserve"> 7-ФЗ «О некоммерческих организациях» и (или) в статье 3 Закона Приморского края от 5 апреля 2013 года </w:t>
      </w:r>
      <w:r>
        <w:rPr>
          <w:szCs w:val="28"/>
          <w:lang w:eastAsia="ru-RU" w:bidi="en-US"/>
        </w:rPr>
        <w:t>№</w:t>
      </w:r>
      <w:r>
        <w:rPr>
          <w:szCs w:val="28"/>
          <w:lang w:eastAsia="ru-RU" w:bidi="ru-RU"/>
        </w:rPr>
        <w:t xml:space="preserve"> 183-КЗ «О поддержке социально ориентированных некоммерческих организаций в Приморском крае», </w:t>
      </w:r>
      <w:r>
        <w:rPr>
          <w:spacing w:val="4"/>
          <w:szCs w:val="28"/>
        </w:rPr>
        <w:br/>
        <w:t xml:space="preserve">и не является </w:t>
      </w:r>
      <w:r>
        <w:t>государственным (муниципальным) учреждением</w:t>
      </w:r>
      <w:r>
        <w:rPr>
          <w:szCs w:val="28"/>
          <w:lang w:eastAsia="ru-RU" w:bidi="ru-RU"/>
        </w:rPr>
        <w:t>;</w:t>
      </w:r>
    </w:p>
    <w:p w14:paraId="73AB1219" w14:textId="77777777" w:rsidR="00332CD6" w:rsidRDefault="000C4B44" w:rsidP="00E10FE4">
      <w:pPr>
        <w:widowControl w:val="0"/>
        <w:spacing w:after="57" w:line="276" w:lineRule="auto"/>
        <w:ind w:right="-83" w:firstLine="720"/>
        <w:jc w:val="both"/>
        <w:rPr>
          <w:szCs w:val="28"/>
          <w:lang w:eastAsia="ru-RU" w:bidi="ru-RU"/>
        </w:rPr>
      </w:pPr>
      <w:r>
        <w:rPr>
          <w:szCs w:val="28"/>
        </w:rPr>
        <w:t xml:space="preserve">2. </w:t>
      </w:r>
      <w:r>
        <w:rPr>
          <w:szCs w:val="28"/>
          <w:lang w:eastAsia="ru-RU" w:bidi="ru-RU"/>
        </w:rPr>
        <w:t xml:space="preserve">Организация не находится в процессе реорганизации </w:t>
      </w:r>
      <w:r>
        <w:rPr>
          <w:szCs w:val="28"/>
          <w:lang w:eastAsia="ru-RU" w:bidi="ru-RU"/>
        </w:rPr>
        <w:br/>
        <w:t xml:space="preserve">(за исключением реорганизации в форме присоединения к общественной организации другого юридического лица), ликвидации, в отношении </w:t>
      </w:r>
      <w:r>
        <w:rPr>
          <w:szCs w:val="28"/>
          <w:lang w:eastAsia="ru-RU" w:bidi="ru-RU"/>
        </w:rPr>
        <w:br/>
        <w:t xml:space="preserve">СО НКО не введена процедура банкротства, деятельность СО НКО </w:t>
      </w:r>
      <w:r>
        <w:rPr>
          <w:szCs w:val="28"/>
          <w:lang w:eastAsia="ru-RU" w:bidi="ru-RU"/>
        </w:rPr>
        <w:br/>
        <w:t>не приостановлена в порядке, предусмотренном законодательством Российской Федерации;</w:t>
      </w:r>
    </w:p>
    <w:p w14:paraId="77D1CAE2" w14:textId="7D643C92" w:rsidR="00332CD6" w:rsidRDefault="00F24DD3" w:rsidP="00E10FE4">
      <w:pPr>
        <w:widowControl w:val="0"/>
        <w:spacing w:after="28" w:line="276" w:lineRule="auto"/>
        <w:ind w:right="-83"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3</w:t>
      </w:r>
      <w:r w:rsidR="000C4B44">
        <w:rPr>
          <w:szCs w:val="28"/>
          <w:lang w:bidi="ru-RU"/>
        </w:rPr>
        <w:t xml:space="preserve">. У организации отсутствует </w:t>
      </w:r>
      <w:r w:rsidR="000C4B44">
        <w:rPr>
          <w:szCs w:val="28"/>
          <w:lang w:eastAsia="ru-RU" w:bidi="ru-RU"/>
        </w:rPr>
        <w:t xml:space="preserve">просроченная задолженность по возврату </w:t>
      </w:r>
      <w:r w:rsidR="000C4B44">
        <w:rPr>
          <w:szCs w:val="28"/>
          <w:lang w:eastAsia="ru-RU" w:bidi="ru-RU"/>
        </w:rPr>
        <w:br/>
        <w:t xml:space="preserve">в краевой бюджет Приморского края субсидий и (или) грантов в форме субсидий, </w:t>
      </w:r>
      <w:r w:rsidR="000C4B44">
        <w:rPr>
          <w:rFonts w:eastAsia="Calibri"/>
          <w:szCs w:val="28"/>
        </w:rPr>
        <w:t xml:space="preserve">бюджетных инвестиций, </w:t>
      </w:r>
      <w:r w:rsidR="000C4B44">
        <w:rPr>
          <w:szCs w:val="28"/>
          <w:lang w:eastAsia="ru-RU" w:bidi="ru-RU"/>
        </w:rPr>
        <w:t>предоставленных в том числе в соответствии с иными нормативными правовыми актами Приморского края, и иная</w:t>
      </w:r>
      <w:r w:rsidR="000C4B44">
        <w:t xml:space="preserve"> </w:t>
      </w:r>
      <w:r w:rsidR="000C4B44">
        <w:rPr>
          <w:szCs w:val="28"/>
        </w:rPr>
        <w:t>просроченная (неурегулированная) задолженность по денежным обязательствам перед Приморским краем;</w:t>
      </w:r>
    </w:p>
    <w:p w14:paraId="4661471F" w14:textId="5E20DE82" w:rsidR="00332CD6" w:rsidRDefault="00F24DD3" w:rsidP="00E10FE4">
      <w:pPr>
        <w:widowControl w:val="0"/>
        <w:spacing w:after="28" w:line="276" w:lineRule="auto"/>
        <w:ind w:right="-83" w:firstLine="720"/>
        <w:jc w:val="both"/>
        <w:rPr>
          <w:bCs/>
          <w:szCs w:val="28"/>
          <w:lang w:eastAsia="ru-RU" w:bidi="ru-RU"/>
        </w:rPr>
      </w:pPr>
      <w:r>
        <w:rPr>
          <w:szCs w:val="28"/>
          <w:lang w:eastAsia="ru-RU" w:bidi="ru-RU"/>
        </w:rPr>
        <w:t>4</w:t>
      </w:r>
      <w:r w:rsidR="000C4B44">
        <w:rPr>
          <w:szCs w:val="28"/>
          <w:lang w:eastAsia="ru-RU" w:bidi="ru-RU"/>
        </w:rPr>
        <w:t>. Организации не предоставлены средства краевого бюджета Приморского края на основании иных нормативных правовых актов Приморского края на цели, указанные в пункте 1.4 или 1.5 Порядка проведения конкурсного отбора, определения объёма и предоставления субсидий социально ориентированным некоммерческим организациям в Приморском крае в целях финансового обеспечения затрат, связанных с реализацией общественно значимых программ (проектов);</w:t>
      </w:r>
    </w:p>
    <w:p w14:paraId="1CF25664" w14:textId="085A1BA7" w:rsidR="00332CD6" w:rsidRDefault="00F24DD3" w:rsidP="00E10FE4">
      <w:pPr>
        <w:widowControl w:val="0"/>
        <w:spacing w:after="28" w:line="276" w:lineRule="auto"/>
        <w:ind w:right="-83" w:firstLine="720"/>
        <w:jc w:val="both"/>
        <w:rPr>
          <w:szCs w:val="28"/>
        </w:rPr>
      </w:pPr>
      <w:r>
        <w:rPr>
          <w:szCs w:val="28"/>
        </w:rPr>
        <w:t>5</w:t>
      </w:r>
      <w:r w:rsidR="000C4B44">
        <w:rPr>
          <w:szCs w:val="28"/>
        </w:rPr>
        <w:t xml:space="preserve">. </w:t>
      </w:r>
      <w:r w:rsidR="000C4B44">
        <w:rPr>
          <w:spacing w:val="4"/>
          <w:szCs w:val="28"/>
        </w:rPr>
        <w:t xml:space="preserve">Организация не имеет </w:t>
      </w:r>
      <w:r w:rsidR="000C4B44">
        <w:rPr>
          <w:szCs w:val="28"/>
        </w:rPr>
        <w:t>фактов нецелевого использования ранее предоставленных субсидий из федерального бюджета, краевого бюджета или местного бюджета в течение последних трех лет до дня начала приема заявок;</w:t>
      </w:r>
    </w:p>
    <w:p w14:paraId="17E903E9" w14:textId="4A8A0831" w:rsidR="00332CD6" w:rsidRDefault="00F24DD3" w:rsidP="00E10FE4">
      <w:pPr>
        <w:widowControl w:val="0"/>
        <w:spacing w:line="276" w:lineRule="auto"/>
        <w:ind w:right="-83" w:firstLine="720"/>
        <w:jc w:val="both"/>
        <w:rPr>
          <w:szCs w:val="28"/>
        </w:rPr>
      </w:pPr>
      <w:r>
        <w:rPr>
          <w:szCs w:val="28"/>
        </w:rPr>
        <w:t>6</w:t>
      </w:r>
      <w:r w:rsidR="000C4B44">
        <w:rPr>
          <w:szCs w:val="28"/>
        </w:rPr>
        <w:t xml:space="preserve">. Организация не включена в реестр недобросовестных поставщиков </w:t>
      </w:r>
      <w:r w:rsidR="000C4B44">
        <w:rPr>
          <w:szCs w:val="28"/>
        </w:rPr>
        <w:br/>
        <w:t xml:space="preserve">в соответствии с федеральными законами от 5 апреля 2013 года № 44-ФЗ </w:t>
      </w:r>
      <w:r w:rsidR="000C4B44">
        <w:rPr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от 18 июля 2011 года № 223-ФЗ </w:t>
      </w:r>
      <w:r w:rsidR="000C4B44">
        <w:rPr>
          <w:szCs w:val="28"/>
        </w:rPr>
        <w:br/>
        <w:t>«О закупках товаров, работ, услуг отдельными видами юридических лиц»;</w:t>
      </w:r>
    </w:p>
    <w:p w14:paraId="6147C35B" w14:textId="574017CB" w:rsidR="00332CD6" w:rsidRDefault="00F24DD3" w:rsidP="00E10FE4">
      <w:pPr>
        <w:widowControl w:val="0"/>
        <w:spacing w:after="28" w:line="276" w:lineRule="auto"/>
        <w:ind w:right="-83" w:firstLine="720"/>
        <w:jc w:val="both"/>
        <w:rPr>
          <w:szCs w:val="28"/>
        </w:rPr>
      </w:pPr>
      <w:r>
        <w:rPr>
          <w:szCs w:val="28"/>
          <w:lang w:eastAsia="ru-RU" w:bidi="ru-RU"/>
        </w:rPr>
        <w:t>7</w:t>
      </w:r>
      <w:r w:rsidR="000C4B44">
        <w:rPr>
          <w:szCs w:val="28"/>
          <w:lang w:eastAsia="ru-RU" w:bidi="ru-RU"/>
        </w:rPr>
        <w:t xml:space="preserve">. Организация не является некоммерческой организацией, выполняющей функции иностранного агента, не является иностранным юридическим лицом, </w:t>
      </w:r>
      <w:r w:rsidR="000C4B44">
        <w:rPr>
          <w:szCs w:val="28"/>
          <w:lang w:eastAsia="ru-RU" w:bidi="ru-RU"/>
        </w:rPr>
        <w:br/>
        <w:t>а также российским юридическим лицом, в уставном (складочном) капитале которого доля участия иностранных юридических лиц</w:t>
      </w:r>
      <w:r w:rsidR="000C4B44">
        <w:rPr>
          <w:rFonts w:eastAsia="Calibri"/>
          <w:szCs w:val="28"/>
        </w:rPr>
        <w:t xml:space="preserve">, местом регистрации которых является государство (территория), включенное в утвержденный </w:t>
      </w:r>
      <w:r w:rsidR="000C4B44">
        <w:rPr>
          <w:rFonts w:eastAsia="Calibri"/>
          <w:szCs w:val="28"/>
        </w:rPr>
        <w:lastRenderedPageBreak/>
        <w:t xml:space="preserve">Министерством финансов Российской Федерации перечень государств </w:t>
      </w:r>
      <w:r w:rsidR="000C4B44">
        <w:rPr>
          <w:rFonts w:eastAsia="Calibri"/>
          <w:szCs w:val="28"/>
        </w:rPr>
        <w:br/>
        <w:t xml:space="preserve">и территорий, предоставляющих льготный налоговый режим налогообложения </w:t>
      </w:r>
      <w:r w:rsidR="000C4B44">
        <w:rPr>
          <w:rFonts w:eastAsia="Calibri"/>
          <w:szCs w:val="28"/>
        </w:rPr>
        <w:br/>
        <w:t xml:space="preserve">и (или) не предусматривающих раскрытия и предоставления информации при проведении финансовых операций (офшорные зоны), </w:t>
      </w:r>
      <w:r w:rsidR="000C4B44">
        <w:rPr>
          <w:szCs w:val="28"/>
          <w:lang w:eastAsia="ru-RU" w:bidi="ru-RU"/>
        </w:rPr>
        <w:t>в совокупности превышает 50 процентов;</w:t>
      </w:r>
    </w:p>
    <w:p w14:paraId="191E5F5D" w14:textId="1EAF52BA" w:rsidR="00332CD6" w:rsidRDefault="00F24DD3" w:rsidP="00E10FE4">
      <w:pPr>
        <w:widowControl w:val="0"/>
        <w:spacing w:after="28" w:line="276" w:lineRule="auto"/>
        <w:ind w:right="-83" w:firstLine="720"/>
        <w:jc w:val="both"/>
        <w:rPr>
          <w:szCs w:val="28"/>
        </w:rPr>
      </w:pPr>
      <w:r>
        <w:rPr>
          <w:bCs/>
          <w:szCs w:val="28"/>
        </w:rPr>
        <w:t>8</w:t>
      </w:r>
      <w:r w:rsidR="000C4B44">
        <w:rPr>
          <w:bCs/>
          <w:szCs w:val="28"/>
        </w:rPr>
        <w:t xml:space="preserve">. </w:t>
      </w:r>
      <w:r w:rsidR="000C4B44">
        <w:rPr>
          <w:szCs w:val="28"/>
        </w:rPr>
        <w:t xml:space="preserve">Организация не имеет в составе учредителей общественных объединений, являющихся политическими партиями (далее – политические партии), в уставе отсутствует использование наименования политической партии, отсутствуют факты передачи пожертвований политической партии или </w:t>
      </w:r>
      <w:r w:rsidR="000C4B44">
        <w:rPr>
          <w:szCs w:val="28"/>
        </w:rPr>
        <w:br/>
        <w:t>её региональному отделению в течение последних трех лет до дня начала приема заявок и прилагаемых к ним документов;</w:t>
      </w:r>
    </w:p>
    <w:p w14:paraId="714483BB" w14:textId="36723D15" w:rsidR="00332CD6" w:rsidRDefault="00F24DD3" w:rsidP="00E10FE4">
      <w:pPr>
        <w:pStyle w:val="25"/>
        <w:spacing w:line="276" w:lineRule="auto"/>
        <w:ind w:left="0" w:firstLine="708"/>
        <w:jc w:val="both"/>
      </w:pPr>
      <w:r>
        <w:t>9</w:t>
      </w:r>
      <w:r w:rsidR="000C4B44">
        <w:t>. С условиями Конкурса ознакомлен и согласен.</w:t>
      </w:r>
    </w:p>
    <w:p w14:paraId="6C7E7E1D" w14:textId="77777777" w:rsidR="00332CD6" w:rsidRDefault="00332CD6" w:rsidP="00E10FE4">
      <w:pPr>
        <w:pStyle w:val="14"/>
        <w:spacing w:after="0"/>
        <w:ind w:left="0" w:right="97"/>
        <w:jc w:val="center"/>
        <w:rPr>
          <w:rFonts w:ascii="Times New Roman" w:hAnsi="Times New Roman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547"/>
        <w:gridCol w:w="2407"/>
      </w:tblGrid>
      <w:tr w:rsidR="00332CD6" w14:paraId="0F40066E" w14:textId="77777777">
        <w:tc>
          <w:tcPr>
            <w:tcW w:w="2122" w:type="dxa"/>
          </w:tcPr>
          <w:p w14:paraId="4BB90F01" w14:textId="77777777" w:rsidR="00332CD6" w:rsidRDefault="00332CD6" w:rsidP="00E10FE4">
            <w:pPr>
              <w:pStyle w:val="14"/>
              <w:pBdr>
                <w:bottom w:val="single" w:sz="12" w:space="1" w:color="auto"/>
              </w:pBdr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816591" w14:textId="77777777" w:rsidR="00332CD6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551" w:type="dxa"/>
          </w:tcPr>
          <w:p w14:paraId="20223B1A" w14:textId="77777777" w:rsidR="00332CD6" w:rsidRDefault="00332CD6" w:rsidP="00E10FE4">
            <w:pPr>
              <w:pStyle w:val="14"/>
              <w:pBdr>
                <w:bottom w:val="single" w:sz="12" w:space="1" w:color="auto"/>
              </w:pBdr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421C9A" w14:textId="77777777" w:rsidR="00332CD6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(фамилия)</w:t>
            </w:r>
          </w:p>
        </w:tc>
        <w:tc>
          <w:tcPr>
            <w:tcW w:w="2547" w:type="dxa"/>
          </w:tcPr>
          <w:p w14:paraId="6F5016B6" w14:textId="77777777" w:rsidR="00332CD6" w:rsidRDefault="00332CD6" w:rsidP="00E10FE4">
            <w:pPr>
              <w:pStyle w:val="14"/>
              <w:pBdr>
                <w:bottom w:val="single" w:sz="12" w:space="1" w:color="auto"/>
              </w:pBdr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842AFE" w14:textId="77777777" w:rsidR="00332CD6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(имя)</w:t>
            </w:r>
          </w:p>
        </w:tc>
        <w:tc>
          <w:tcPr>
            <w:tcW w:w="2407" w:type="dxa"/>
          </w:tcPr>
          <w:p w14:paraId="5F723B3F" w14:textId="77777777" w:rsidR="00332CD6" w:rsidRDefault="00332CD6" w:rsidP="00E10FE4">
            <w:pPr>
              <w:pStyle w:val="14"/>
              <w:pBdr>
                <w:bottom w:val="single" w:sz="12" w:space="1" w:color="auto"/>
              </w:pBdr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57CC29" w14:textId="77777777" w:rsidR="00332CD6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(отчество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(при наличии)</w:t>
            </w:r>
          </w:p>
        </w:tc>
      </w:tr>
      <w:tr w:rsidR="00332CD6" w14:paraId="127BBA53" w14:textId="77777777">
        <w:tc>
          <w:tcPr>
            <w:tcW w:w="2122" w:type="dxa"/>
          </w:tcPr>
          <w:p w14:paraId="26437305" w14:textId="77777777" w:rsidR="00332CD6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место для печати</w:t>
            </w:r>
          </w:p>
        </w:tc>
        <w:tc>
          <w:tcPr>
            <w:tcW w:w="7505" w:type="dxa"/>
            <w:gridSpan w:val="3"/>
          </w:tcPr>
          <w:p w14:paraId="04A03E1E" w14:textId="77777777" w:rsidR="00332CD6" w:rsidRDefault="000C4B44" w:rsidP="00E10FE4">
            <w:pPr>
              <w:pStyle w:val="14"/>
              <w:spacing w:after="0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u" w:eastAsia="ru-RU"/>
              </w:rPr>
              <w:t xml:space="preserve">руководителя организации (лица, имеющего право действовать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u" w:eastAsia="ru-RU"/>
              </w:rPr>
              <w:br/>
              <w:t xml:space="preserve">от имени организации без доверенности или наделенного полномочиями на подачу заявки от имени организации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u" w:eastAsia="ru-RU"/>
              </w:rPr>
              <w:br/>
              <w:t>на основании доверенности)</w:t>
            </w:r>
          </w:p>
        </w:tc>
      </w:tr>
      <w:tr w:rsidR="00332CD6" w14:paraId="60EEF172" w14:textId="77777777">
        <w:tc>
          <w:tcPr>
            <w:tcW w:w="4673" w:type="dxa"/>
            <w:gridSpan w:val="2"/>
          </w:tcPr>
          <w:p w14:paraId="2FA7C930" w14:textId="77777777" w:rsidR="00332CD6" w:rsidRDefault="00332CD6" w:rsidP="00E10FE4">
            <w:pPr>
              <w:pStyle w:val="14"/>
              <w:pBdr>
                <w:bottom w:val="single" w:sz="12" w:space="1" w:color="auto"/>
              </w:pBdr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DF168" w14:textId="286CD3D5" w:rsidR="00332CD6" w:rsidRPr="009C1CDA" w:rsidRDefault="000C4B44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дата подписания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547" w:type="dxa"/>
          </w:tcPr>
          <w:p w14:paraId="2782FAC0" w14:textId="77777777" w:rsidR="00332CD6" w:rsidRDefault="00332CD6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7" w:type="dxa"/>
          </w:tcPr>
          <w:p w14:paraId="66DA54AA" w14:textId="77777777" w:rsidR="00332CD6" w:rsidRDefault="00332CD6" w:rsidP="00E10FE4">
            <w:pPr>
              <w:pStyle w:val="14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9B18DA3" w14:textId="77777777" w:rsidR="00332CD6" w:rsidRDefault="00332CD6">
      <w:pPr>
        <w:pStyle w:val="14"/>
        <w:spacing w:after="0" w:line="360" w:lineRule="auto"/>
        <w:ind w:left="0" w:right="97"/>
        <w:jc w:val="center"/>
        <w:rPr>
          <w:rFonts w:ascii="Times New Roman" w:hAnsi="Times New Roman"/>
          <w:szCs w:val="28"/>
          <w:lang w:eastAsia="ru-RU"/>
        </w:rPr>
      </w:pPr>
    </w:p>
    <w:sectPr w:rsidR="00332CD6">
      <w:headerReference w:type="even" r:id="rId7"/>
      <w:headerReference w:type="default" r:id="rId8"/>
      <w:headerReference w:type="first" r:id="rId9"/>
      <w:pgSz w:w="11906" w:h="16838"/>
      <w:pgMar w:top="1020" w:right="850" w:bottom="1020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0B9E" w14:textId="77777777" w:rsidR="001E0815" w:rsidRDefault="001E0815">
      <w:r>
        <w:separator/>
      </w:r>
    </w:p>
  </w:endnote>
  <w:endnote w:type="continuationSeparator" w:id="0">
    <w:p w14:paraId="5C65A1C3" w14:textId="77777777" w:rsidR="001E0815" w:rsidRDefault="001E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5E7B" w14:textId="77777777" w:rsidR="001E0815" w:rsidRDefault="001E0815">
      <w:r>
        <w:separator/>
      </w:r>
    </w:p>
  </w:footnote>
  <w:footnote w:type="continuationSeparator" w:id="0">
    <w:p w14:paraId="4ABA6B53" w14:textId="77777777" w:rsidR="001E0815" w:rsidRDefault="001E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D0E1" w14:textId="77777777" w:rsidR="00332CD6" w:rsidRDefault="000C4B4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25606C1" w14:textId="77777777" w:rsidR="00332CD6" w:rsidRDefault="00332C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279B" w14:textId="77777777" w:rsidR="00332CD6" w:rsidRDefault="000C4B4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834212" w14:textId="77777777" w:rsidR="00332CD6" w:rsidRDefault="00332CD6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5171" w14:textId="77777777" w:rsidR="00332CD6" w:rsidRDefault="00332CD6">
    <w:pPr>
      <w:pStyle w:val="ae"/>
    </w:pPr>
  </w:p>
  <w:p w14:paraId="6D055F3F" w14:textId="77777777" w:rsidR="00332CD6" w:rsidRDefault="00332C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6EC1"/>
    <w:multiLevelType w:val="hybridMultilevel"/>
    <w:tmpl w:val="3F84238C"/>
    <w:lvl w:ilvl="0" w:tplc="0122D982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</w:lvl>
    <w:lvl w:ilvl="1" w:tplc="FCD6436E">
      <w:start w:val="1"/>
      <w:numFmt w:val="decimal"/>
      <w:lvlText w:val=""/>
      <w:lvlJc w:val="left"/>
    </w:lvl>
    <w:lvl w:ilvl="2" w:tplc="27BCA308">
      <w:start w:val="1"/>
      <w:numFmt w:val="decimal"/>
      <w:lvlText w:val=""/>
      <w:lvlJc w:val="left"/>
    </w:lvl>
    <w:lvl w:ilvl="3" w:tplc="F5D0C498">
      <w:start w:val="1"/>
      <w:numFmt w:val="decimal"/>
      <w:lvlText w:val=""/>
      <w:lvlJc w:val="left"/>
    </w:lvl>
    <w:lvl w:ilvl="4" w:tplc="6EF29670">
      <w:start w:val="1"/>
      <w:numFmt w:val="decimal"/>
      <w:lvlText w:val=""/>
      <w:lvlJc w:val="left"/>
    </w:lvl>
    <w:lvl w:ilvl="5" w:tplc="AA9E064E">
      <w:start w:val="1"/>
      <w:numFmt w:val="decimal"/>
      <w:lvlText w:val=""/>
      <w:lvlJc w:val="left"/>
    </w:lvl>
    <w:lvl w:ilvl="6" w:tplc="60E48A92">
      <w:start w:val="1"/>
      <w:numFmt w:val="decimal"/>
      <w:lvlText w:val=""/>
      <w:lvlJc w:val="left"/>
    </w:lvl>
    <w:lvl w:ilvl="7" w:tplc="A1F0E2EE">
      <w:start w:val="1"/>
      <w:numFmt w:val="decimal"/>
      <w:lvlText w:val=""/>
      <w:lvlJc w:val="left"/>
    </w:lvl>
    <w:lvl w:ilvl="8" w:tplc="57942964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D6"/>
    <w:rsid w:val="000C4B44"/>
    <w:rsid w:val="000F4886"/>
    <w:rsid w:val="001E0815"/>
    <w:rsid w:val="00332CD6"/>
    <w:rsid w:val="00395B5F"/>
    <w:rsid w:val="0065356F"/>
    <w:rsid w:val="00782099"/>
    <w:rsid w:val="007C007F"/>
    <w:rsid w:val="009C1CDA"/>
    <w:rsid w:val="00E10FE4"/>
    <w:rsid w:val="00EC14E9"/>
    <w:rsid w:val="00F033A1"/>
    <w:rsid w:val="00F24DD3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3EA0"/>
  <w15:docId w15:val="{858ABDFF-C851-436F-8653-245CC8BF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8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Pr>
      <w:sz w:val="28"/>
      <w:szCs w:val="22"/>
      <w:lang w:eastAsia="en-US"/>
    </w:rPr>
  </w:style>
  <w:style w:type="paragraph" w:customStyle="1" w:styleId="af4">
    <w:name w:val="Прижатый влево"/>
    <w:basedOn w:val="a"/>
    <w:next w:val="a"/>
    <w:uiPriority w:val="99"/>
    <w:pPr>
      <w:widowControl w:val="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25">
    <w:name w:val="Абзац списка2"/>
    <w:basedOn w:val="a"/>
    <w:pPr>
      <w:ind w:left="720"/>
      <w:contextualSpacing/>
    </w:pPr>
  </w:style>
  <w:style w:type="paragraph" w:styleId="af5">
    <w:name w:val="List Paragraph"/>
    <w:pPr>
      <w:ind w:left="720"/>
      <w:contextualSpacing/>
    </w:pPr>
    <w:rPr>
      <w:rFonts w:eastAsia="Calibri"/>
      <w:sz w:val="28"/>
      <w:lang w:eastAsia="en-US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778</Words>
  <Characters>4438</Characters>
  <Application>Microsoft Office Word</Application>
  <DocSecurity>0</DocSecurity>
  <Lines>36</Lines>
  <Paragraphs>10</Paragraphs>
  <ScaleCrop>false</ScaleCrop>
  <Company>APK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Volokitina_IS</dc:creator>
  <cp:keywords/>
  <cp:lastModifiedBy>АВ</cp:lastModifiedBy>
  <cp:revision>9</cp:revision>
  <dcterms:created xsi:type="dcterms:W3CDTF">2022-02-01T06:33:00Z</dcterms:created>
  <dcterms:modified xsi:type="dcterms:W3CDTF">2022-04-08T01:16:00Z</dcterms:modified>
</cp:coreProperties>
</file>